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DE0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b/>
          <w:color w:val="auto"/>
          <w:sz w:val="28"/>
          <w:szCs w:val="28"/>
          <w:shd w:val="clear" w:color="auto" w:fill="auto"/>
          <w:lang w:eastAsia="ru-RU"/>
        </w:rPr>
        <w:t>Порядок назначения на должность председателя, заместителя председателя и аудитора Контрольно-счетной палаты</w:t>
      </w:r>
    </w:p>
    <w:p w:rsidR="00DE0A99" w:rsidRDefault="00DE0A99" w:rsidP="00DE0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b/>
          <w:color w:val="auto"/>
          <w:sz w:val="28"/>
          <w:szCs w:val="28"/>
          <w:shd w:val="clear" w:color="auto" w:fill="auto"/>
          <w:lang w:eastAsia="ru-RU"/>
        </w:rPr>
        <w:t>( статья 4 Положения о Контрольно-счетной палате городского округа Серпухов Московской области, утвержденного Решением Совета депутатов городского округа Серпухов от 13.10.2021 № 356/38)</w:t>
      </w:r>
    </w:p>
    <w:p w:rsidR="00DE0A99" w:rsidRPr="00CF3B7C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 w:rsidRPr="00CF3B7C">
        <w:rPr>
          <w:color w:val="auto"/>
          <w:sz w:val="28"/>
          <w:szCs w:val="28"/>
          <w:shd w:val="clear" w:color="auto" w:fill="auto"/>
          <w:lang w:eastAsia="ru-RU"/>
        </w:rPr>
        <w:t>4.1.</w:t>
      </w:r>
      <w:r>
        <w:rPr>
          <w:color w:val="auto"/>
          <w:sz w:val="28"/>
          <w:szCs w:val="28"/>
          <w:shd w:val="clear" w:color="auto" w:fill="auto"/>
          <w:lang w:eastAsia="ru-RU"/>
        </w:rPr>
        <w:t xml:space="preserve"> Председатель, заместитель председателя и аудитор Контрольно-счетной палаты назначаются на должность Советом депутатов.</w:t>
      </w:r>
    </w:p>
    <w:p w:rsidR="00DE0A99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 w:rsidRPr="00CF3B7C">
        <w:rPr>
          <w:color w:val="auto"/>
          <w:sz w:val="28"/>
          <w:szCs w:val="28"/>
          <w:shd w:val="clear" w:color="auto" w:fill="auto"/>
          <w:lang w:eastAsia="ru-RU"/>
        </w:rPr>
        <w:t>4.2.</w:t>
      </w:r>
      <w:r>
        <w:rPr>
          <w:color w:val="auto"/>
          <w:sz w:val="28"/>
          <w:szCs w:val="28"/>
          <w:shd w:val="clear" w:color="auto" w:fill="auto"/>
          <w:lang w:eastAsia="ru-RU"/>
        </w:rPr>
        <w:t xml:space="preserve"> Предложения о кандидатурах на должность председателя Контрольно-счетной палаты вносятся в Совет депутатов:</w:t>
      </w:r>
    </w:p>
    <w:p w:rsidR="00DE0A99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>
        <w:rPr>
          <w:color w:val="auto"/>
          <w:sz w:val="28"/>
          <w:szCs w:val="28"/>
          <w:shd w:val="clear" w:color="auto" w:fill="auto"/>
          <w:lang w:eastAsia="ru-RU"/>
        </w:rPr>
        <w:t>1) председателем Совета депутатов городского округа Серпухов;</w:t>
      </w:r>
    </w:p>
    <w:p w:rsidR="00DE0A99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>
        <w:rPr>
          <w:color w:val="auto"/>
          <w:sz w:val="28"/>
          <w:szCs w:val="28"/>
          <w:shd w:val="clear" w:color="auto" w:fill="auto"/>
          <w:lang w:eastAsia="ru-RU"/>
        </w:rPr>
        <w:t>2) депутатами Совета депутатов городского округа Серпухов  - не менее одной трети от установленного числа депутатов Совета депутатов;</w:t>
      </w:r>
    </w:p>
    <w:p w:rsidR="00DE0A99" w:rsidRPr="00CF3B7C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>
        <w:rPr>
          <w:color w:val="auto"/>
          <w:sz w:val="28"/>
          <w:szCs w:val="28"/>
          <w:shd w:val="clear" w:color="auto" w:fill="auto"/>
          <w:lang w:eastAsia="ru-RU"/>
        </w:rPr>
        <w:t>3) Главой городского округа Серпухов;</w:t>
      </w:r>
    </w:p>
    <w:p w:rsidR="00DE0A99" w:rsidRPr="00CF3B7C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 w:rsidRPr="00CF3B7C">
        <w:rPr>
          <w:color w:val="auto"/>
          <w:sz w:val="28"/>
          <w:szCs w:val="28"/>
          <w:shd w:val="clear" w:color="auto" w:fill="auto"/>
          <w:lang w:eastAsia="ru-RU"/>
        </w:rPr>
        <w:t>4.3.</w:t>
      </w:r>
      <w:r>
        <w:rPr>
          <w:color w:val="auto"/>
          <w:sz w:val="28"/>
          <w:szCs w:val="28"/>
          <w:shd w:val="clear" w:color="auto" w:fill="auto"/>
          <w:lang w:eastAsia="ru-RU"/>
        </w:rPr>
        <w:t xml:space="preserve"> Кандидатуры на должность председателя Контрольно-счетной палаты представляются в Совет депутатов субъектами, перечисленными в пункте 4.2. настоящей статьи, не позднее, чем за два месяца до истечения полномочий действующего председателя Контрольно-счетной палаты. В случае если должность председателя Контрольно-счетной палаты вакантна, сроки внесения кандидатур не устанавливаются.</w:t>
      </w:r>
    </w:p>
    <w:p w:rsidR="00DE0A99" w:rsidRPr="00CF3B7C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 w:rsidRPr="00CF3B7C">
        <w:rPr>
          <w:color w:val="auto"/>
          <w:sz w:val="28"/>
          <w:szCs w:val="28"/>
          <w:shd w:val="clear" w:color="auto" w:fill="auto"/>
          <w:lang w:eastAsia="ru-RU"/>
        </w:rPr>
        <w:t>4.4.</w:t>
      </w:r>
      <w:r>
        <w:rPr>
          <w:color w:val="auto"/>
          <w:sz w:val="28"/>
          <w:szCs w:val="28"/>
          <w:shd w:val="clear" w:color="auto" w:fill="auto"/>
          <w:lang w:eastAsia="ru-RU"/>
        </w:rPr>
        <w:t xml:space="preserve"> Кандидатуры на должность заместителя председателя и аудитора Контрольно-счетной палаты вносятся в Сове депутатов председателем Контрольно-счетной палаты.</w:t>
      </w:r>
    </w:p>
    <w:p w:rsidR="00DE0A99" w:rsidRPr="00CF3B7C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 w:rsidRPr="00CF3B7C">
        <w:rPr>
          <w:color w:val="auto"/>
          <w:sz w:val="28"/>
          <w:szCs w:val="28"/>
          <w:shd w:val="clear" w:color="auto" w:fill="auto"/>
          <w:lang w:eastAsia="ru-RU"/>
        </w:rPr>
        <w:t>4.5.</w:t>
      </w:r>
      <w:r>
        <w:rPr>
          <w:color w:val="auto"/>
          <w:sz w:val="28"/>
          <w:szCs w:val="28"/>
          <w:shd w:val="clear" w:color="auto" w:fill="auto"/>
          <w:lang w:eastAsia="ru-RU"/>
        </w:rPr>
        <w:t xml:space="preserve"> Рассмотрение кандидатур на должности председателя, заместителя председателя, аудитора Контрольно-счетной палаты производится с приглашением указанных кандидатур на заседание Совета депутатов. Утверждение кандидатур проводится открытым голосованием большинством голосов депутатов Совета депутатов от установленной численности депутатов.</w:t>
      </w:r>
    </w:p>
    <w:p w:rsidR="00DE0A99" w:rsidRPr="00CF3B7C" w:rsidRDefault="00DE0A99" w:rsidP="00DE0A9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color w:val="auto"/>
          <w:sz w:val="28"/>
          <w:szCs w:val="28"/>
          <w:shd w:val="clear" w:color="auto" w:fill="auto"/>
          <w:lang w:eastAsia="ru-RU"/>
        </w:rPr>
      </w:pPr>
      <w:r w:rsidRPr="00CF3B7C">
        <w:rPr>
          <w:color w:val="auto"/>
          <w:sz w:val="28"/>
          <w:szCs w:val="28"/>
          <w:shd w:val="clear" w:color="auto" w:fill="auto"/>
          <w:lang w:eastAsia="ru-RU"/>
        </w:rPr>
        <w:t>4.6.</w:t>
      </w:r>
      <w:r>
        <w:rPr>
          <w:color w:val="auto"/>
          <w:sz w:val="28"/>
          <w:szCs w:val="28"/>
          <w:shd w:val="clear" w:color="auto" w:fill="auto"/>
          <w:lang w:eastAsia="ru-RU"/>
        </w:rPr>
        <w:t xml:space="preserve"> Совет депутатов не позднее чем в 30- дневный срок рассматривает представленные кандидатуры на должность председателя, заместителя председателя, аудитора Контрольно-счетной палаты.</w:t>
      </w: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DE0A99" w:rsidRDefault="00DE0A99" w:rsidP="00CF3B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</w:p>
    <w:p w:rsidR="00CF3B7C" w:rsidRDefault="00CF3B7C" w:rsidP="00DE0A99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b/>
          <w:color w:val="auto"/>
          <w:sz w:val="28"/>
          <w:szCs w:val="28"/>
          <w:shd w:val="clear" w:color="auto" w:fill="auto"/>
          <w:lang w:eastAsia="ru-RU"/>
        </w:rPr>
        <w:lastRenderedPageBreak/>
        <w:t>Порядок назначения на должность председателя, заместителей председателя и аудиторов контрольно-счетных органов</w:t>
      </w:r>
    </w:p>
    <w:p w:rsidR="002F0264" w:rsidRPr="002F0264" w:rsidRDefault="002F0264" w:rsidP="00DE0A9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(ст. </w:t>
      </w:r>
      <w:r w:rsidR="00CF3B7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CF3B7C" w:rsidRPr="00CF3B7C">
        <w:rPr>
          <w:b/>
          <w:sz w:val="28"/>
          <w:szCs w:val="28"/>
        </w:rPr>
        <w:t>Федеральн</w:t>
      </w:r>
      <w:r w:rsidR="00CF3B7C">
        <w:rPr>
          <w:b/>
          <w:sz w:val="28"/>
          <w:szCs w:val="28"/>
        </w:rPr>
        <w:t>ого</w:t>
      </w:r>
      <w:r w:rsidR="00CF3B7C" w:rsidRPr="00CF3B7C">
        <w:rPr>
          <w:b/>
          <w:sz w:val="28"/>
          <w:szCs w:val="28"/>
        </w:rPr>
        <w:t xml:space="preserve"> закон</w:t>
      </w:r>
      <w:r w:rsidR="00CF3B7C">
        <w:rPr>
          <w:b/>
          <w:sz w:val="28"/>
          <w:szCs w:val="28"/>
        </w:rPr>
        <w:t>а</w:t>
      </w:r>
      <w:r w:rsidR="00CF3B7C" w:rsidRPr="00CF3B7C">
        <w:rPr>
          <w:b/>
          <w:sz w:val="28"/>
          <w:szCs w:val="28"/>
        </w:rPr>
        <w:t xml:space="preserve"> от 07.02.2011 </w:t>
      </w:r>
      <w:r w:rsidR="00CF3B7C">
        <w:rPr>
          <w:b/>
          <w:sz w:val="28"/>
          <w:szCs w:val="28"/>
        </w:rPr>
        <w:t>№ 6-ФЗ «</w:t>
      </w:r>
      <w:r w:rsidR="00CF3B7C" w:rsidRPr="00CF3B7C">
        <w:rPr>
          <w:b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F3B7C">
        <w:rPr>
          <w:b/>
          <w:sz w:val="28"/>
          <w:szCs w:val="28"/>
        </w:rPr>
        <w:t>»)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1. Председатель, заместители председателя и аудиторы 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(</w:t>
      </w:r>
      <w:proofErr w:type="gramStart"/>
      <w:r w:rsidRPr="00CF3B7C">
        <w:rPr>
          <w:color w:val="000000"/>
          <w:spacing w:val="-1"/>
          <w:sz w:val="28"/>
          <w:szCs w:val="28"/>
        </w:rPr>
        <w:t>в</w:t>
      </w:r>
      <w:proofErr w:type="gramEnd"/>
      <w:r w:rsidRPr="00CF3B7C">
        <w:rPr>
          <w:color w:val="000000"/>
          <w:spacing w:val="-1"/>
          <w:sz w:val="28"/>
          <w:szCs w:val="28"/>
        </w:rPr>
        <w:t xml:space="preserve"> ред. Федерального закона от 01.07.2021 N 255-ФЗ)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2. Предложения о кандидатурах на должность председателя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Федерации: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1) председателем законодательного (представительного) органа государственной власти субъекта Российской Федерации;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(представительного) органа государственной власти субъекта Российской Федерации;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3)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3. Право внесения предложений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(представительного) органа государственной власти субъекта Российской Федерации.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4. Предложения о кандидатурах на должности заместителей председателя и аудиторов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установленном законом субъекта Российской Федерации.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(в ред. Федерального закона от 01.07.2021 N 255-ФЗ)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5. Порядок рассмотрения кандидатур на должности председателя, заместителей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органа государственной власти субъекта Российской Федерации.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(</w:t>
      </w:r>
      <w:proofErr w:type="gramStart"/>
      <w:r w:rsidRPr="00CF3B7C">
        <w:rPr>
          <w:color w:val="000000"/>
          <w:spacing w:val="-1"/>
          <w:sz w:val="28"/>
          <w:szCs w:val="28"/>
        </w:rPr>
        <w:t>в</w:t>
      </w:r>
      <w:proofErr w:type="gramEnd"/>
      <w:r w:rsidRPr="00CF3B7C">
        <w:rPr>
          <w:color w:val="000000"/>
          <w:spacing w:val="-1"/>
          <w:sz w:val="28"/>
          <w:szCs w:val="28"/>
        </w:rPr>
        <w:t xml:space="preserve"> ред. Федерального закона от 01.07.2021 N 255-ФЗ)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lastRenderedPageBreak/>
        <w:t>5.1. Законодательный (представительный)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контрольно-счетного органа субъекта Российской Федерации квалификационным требованиям, установленным настоящим Федеральным законом.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(часть 5.1 введена Федеральным законом от 01.07.2021 N 255-ФЗ)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образования: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1) председателем представительного органа муниципального образования;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3) главой муниципального образования.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8. Право внесения предложений о кандидатурах на должность 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(или)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9. Предложения о кандидатурах на должности заместителя председателя и аудиторов контрольно-счетного органа 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образования.</w:t>
      </w:r>
    </w:p>
    <w:p w:rsidR="00CF3B7C" w:rsidRPr="00CF3B7C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10. Порядок рассмотрения кандидатур на должности 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</w:t>
      </w:r>
    </w:p>
    <w:p w:rsidR="00A70DBF" w:rsidRDefault="00CF3B7C" w:rsidP="00DE0A99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 w:line="240" w:lineRule="auto"/>
        <w:ind w:left="38" w:firstLine="709"/>
        <w:rPr>
          <w:color w:val="000000"/>
          <w:spacing w:val="-1"/>
          <w:sz w:val="28"/>
          <w:szCs w:val="28"/>
        </w:rPr>
      </w:pPr>
      <w:r w:rsidRPr="00CF3B7C">
        <w:rPr>
          <w:color w:val="000000"/>
          <w:spacing w:val="-1"/>
          <w:sz w:val="28"/>
          <w:szCs w:val="28"/>
        </w:rPr>
        <w:t>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законом.</w:t>
      </w:r>
    </w:p>
    <w:p w:rsidR="00CF3B7C" w:rsidRDefault="00CF3B7C" w:rsidP="00CF3B7C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rPr>
          <w:color w:val="000000"/>
          <w:spacing w:val="-1"/>
          <w:sz w:val="28"/>
          <w:szCs w:val="28"/>
        </w:rPr>
      </w:pPr>
    </w:p>
    <w:p w:rsidR="00CF3B7C" w:rsidRDefault="00CF3B7C" w:rsidP="00CF3B7C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CF3B7C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264"/>
    <w:rsid w:val="002A19F2"/>
    <w:rsid w:val="002D2AF6"/>
    <w:rsid w:val="002F0264"/>
    <w:rsid w:val="00311A04"/>
    <w:rsid w:val="00340B70"/>
    <w:rsid w:val="0041454E"/>
    <w:rsid w:val="00486BD4"/>
    <w:rsid w:val="00561432"/>
    <w:rsid w:val="007C69CE"/>
    <w:rsid w:val="00811616"/>
    <w:rsid w:val="00A70DBF"/>
    <w:rsid w:val="00A87537"/>
    <w:rsid w:val="00AD774C"/>
    <w:rsid w:val="00CF3B7C"/>
    <w:rsid w:val="00D374BE"/>
    <w:rsid w:val="00DE0A99"/>
    <w:rsid w:val="00E62F9D"/>
    <w:rsid w:val="00E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4</cp:revision>
  <dcterms:created xsi:type="dcterms:W3CDTF">2018-10-03T13:45:00Z</dcterms:created>
  <dcterms:modified xsi:type="dcterms:W3CDTF">2022-08-03T12:42:00Z</dcterms:modified>
</cp:coreProperties>
</file>